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="000D358F" w:rsidRPr="00516377" w:rsidTr="00243F50">
        <w:trPr>
          <w:trHeight w:val="454"/>
        </w:trPr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58F" w:rsidRPr="00516377" w:rsidRDefault="000D358F" w:rsidP="00243F50">
            <w:pPr>
              <w:pStyle w:val="Titolo1"/>
              <w:numPr>
                <w:ilvl w:val="0"/>
                <w:numId w:val="0"/>
              </w:numPr>
              <w:spacing w:before="240" w:after="60"/>
              <w:contextualSpacing/>
              <w:jc w:val="left"/>
              <w:rPr>
                <w:rFonts w:ascii="Times New Roman" w:hAnsi="Times New Roman" w:cs="Times New Roman"/>
              </w:rPr>
            </w:pPr>
            <w:bookmarkStart w:id="0" w:name="_Toc98168062"/>
            <w:bookmarkEnd w:id="0"/>
            <w:r w:rsidRPr="00516377">
              <w:rPr>
                <w:rFonts w:ascii="Times New Roman" w:hAnsi="Times New Roman" w:cs="Times New Roman"/>
              </w:rPr>
              <w:t>LOTTO 19 - SISTEMA DIAGNOSTICO COLTURALE PER LA RICERCA DI MICOBATTERI SU DIVERSI MATERIALI BIOLOGICI</w:t>
            </w:r>
          </w:p>
        </w:tc>
      </w:tr>
    </w:tbl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0D358F" w:rsidRPr="006E7D6D" w:rsidRDefault="000D358F" w:rsidP="000D3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1.Sistema diagnostico automatico, su terreno liquido, di incubazione e lettura per la ricerca di micobatteri in campioni biologici </w:t>
            </w:r>
          </w:p>
          <w:p w:rsidR="000D358F" w:rsidRDefault="000D358F" w:rsidP="000D358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0D358F" w:rsidRPr="006E7D6D" w:rsidRDefault="000D358F" w:rsidP="000D358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Sistema diagnostico: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Sistema automatico di incubazione e lettura, con monitoraggio continuo della crescita colturale, per la ricerca dei Micobatteri;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Riconoscimento dei campioni tramite codice a barre e completa tracciabilità del campione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Metodo di rilevazione non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radiomarcato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Segnalazione acustica e visiva di allarmi per problemi strumentali;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Segnalazione acustica e visiva dei flaconi positivi e dei campioni negativi, a termine dell’incubazione;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Il sistema deve consentire di impostare tempi di incubazione differenziati per protocollo 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Il sistema deve consentire la gestione in modalità </w:t>
            </w:r>
            <w:r w:rsidRPr="006E7D6D">
              <w:rPr>
                <w:rFonts w:ascii="Times New Roman" w:hAnsi="Times New Roman" w:cs="Times New Roman"/>
                <w:i/>
                <w:sz w:val="24"/>
                <w:szCs w:val="24"/>
              </w:rPr>
              <w:t>anonima</w:t>
            </w: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i flaconi (senza identificazione del paziente, del campione e del flacone);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Visualizzazione delle curve di crescita;</w:t>
            </w:r>
          </w:p>
          <w:p w:rsidR="000D358F" w:rsidRDefault="000D358F" w:rsidP="000D358F">
            <w:pPr>
              <w:pStyle w:val="Paragrafoelenco"/>
              <w:widowControl/>
              <w:numPr>
                <w:ilvl w:val="0"/>
                <w:numId w:val="2"/>
              </w:numPr>
              <w:autoSpaceDE/>
              <w:spacing w:after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La strumentazione deve essere nuova e di ultima generazione.</w:t>
            </w:r>
          </w:p>
          <w:p w:rsidR="000D358F" w:rsidRPr="006E7D6D" w:rsidRDefault="000D358F" w:rsidP="000D358F">
            <w:pPr>
              <w:pStyle w:val="Paragrafoelenco"/>
              <w:widowControl/>
              <w:autoSpaceDE/>
              <w:spacing w:after="4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58F" w:rsidRPr="006E7D6D" w:rsidRDefault="000D358F" w:rsidP="000D358F">
            <w:pPr>
              <w:pStyle w:val="Paragrafoelenc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t>diagnostici, reagenti e materiale di consumo necessario all’analisi del campione: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Provette e/o flaconi con terreno liquido per la crescita dei Micobatteri su materiali biologici;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Marcatura CE-IVD dei reagenti e di tutto il materiale per la ricerca di Micobatteri in campioni biologici;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 reagenti dovranno essere compatibili con le tecniche di biologia molecolare per ulteriori indagini su campioni positivi;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 controlli di qualità devono corrispondere alle linee guida sopra indicate e concordati con l’utilizzatore;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I prodotti per il pretrattamento e la decontaminazione devo essere a base di N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acetil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cisteina e idrossido di sodio (NALC-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), come riportato da linee guida “PERCORSO DIAGNOSTICO DELLA TUBERCOLOSI a cura di Enrico Tortoli – Gruppo di Lavoro dei Micobatteri –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GLaMic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AMCLI”.</w:t>
            </w:r>
          </w:p>
          <w:p w:rsidR="000D358F" w:rsidRPr="006E7D6D" w:rsidRDefault="000D358F" w:rsidP="000D358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0D358F" w:rsidRPr="006E7D6D" w:rsidRDefault="000D358F" w:rsidP="000D358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D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2.Sistema diagnostico automatico di incubazione e lettura per la ricerca di micobatteri in campioni di sangue</w:t>
            </w:r>
          </w:p>
          <w:p w:rsidR="000D358F" w:rsidRPr="006E7D6D" w:rsidRDefault="000D358F" w:rsidP="000D358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58F" w:rsidRPr="006E7D6D" w:rsidRDefault="000D358F" w:rsidP="000D358F">
            <w:pPr>
              <w:pStyle w:val="Paragrafoelenc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sistema di incubazione, lettura e di diagnostici per la ricerca di micobatteri in campioni di sangue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Sistema completamente automatico full service di incubazione e lettura con agitazione continua e monitoraggio frequente per la crescita di Micobatteri su sangue;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Strumentazione nuova di ultima generazione con capacità complessiva in grado di sostenere l’incubazione per ogni flacone di almeno 40 giorni;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Il prelievo deve essere eseguito direttamente su flaconi pronti per l’uso con terreno specifico per la ricerca Micobatteri (brodo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Middlebrook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7H9 e infuso di cuore cervello ed altri reattivi in grado di potenziare la crescita di micobatteri)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Metodo di rilevazione fluorimetrico;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Riconoscimento dei campioni tramite codice a barre e completa tracciabilità del campione;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4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Segnalazione acustica e visiva dei flaconi positivi e dei campioni negativi, a termine dell’incubazione.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0D358F" w:rsidRPr="006E7D6D" w:rsidRDefault="000D358F" w:rsidP="000D3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t>Software gestionale e tutti gli accessori hardware necessari al funzionamento del sistema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5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Fornitura del Software gestionale della strumentazione in grado di governare l’intero processo analitico inclusi i dati statistici; 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5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Accessori hardware necessari al funzionamento dei sistemi forniti;</w:t>
            </w:r>
          </w:p>
          <w:p w:rsidR="000D358F" w:rsidRPr="006E7D6D" w:rsidRDefault="000D358F" w:rsidP="000D358F">
            <w:pPr>
              <w:pStyle w:val="Paragrafoelenco"/>
              <w:widowControl/>
              <w:numPr>
                <w:ilvl w:val="0"/>
                <w:numId w:val="5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Tutto quanto necessario per consentire l’interfacciamento bidirezionale al sistema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middleware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sopra precisato, per l'acquisizione delle richieste e l'invio dei risultati;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0D358F" w:rsidTr="009E786E">
        <w:trPr>
          <w:trHeight w:val="20"/>
        </w:trPr>
        <w:tc>
          <w:tcPr>
            <w:tcW w:w="7196" w:type="dxa"/>
          </w:tcPr>
          <w:p w:rsidR="00477FF5" w:rsidRPr="000D358F" w:rsidRDefault="000D358F" w:rsidP="009E786E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58F">
              <w:rPr>
                <w:rFonts w:ascii="Times New Roman" w:hAnsi="Times New Roman" w:cs="Times New Roman"/>
                <w:sz w:val="24"/>
                <w:szCs w:val="24"/>
              </w:rPr>
              <w:t>Servizio di assistenza tecnica per hardware e software, con intervento on site entro 8 ore lavor</w:t>
            </w:r>
            <w:r w:rsidRPr="000D35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D358F">
              <w:rPr>
                <w:rFonts w:ascii="Times New Roman" w:hAnsi="Times New Roman" w:cs="Times New Roman"/>
                <w:sz w:val="24"/>
                <w:szCs w:val="24"/>
              </w:rPr>
              <w:t>tive dalla chiamata dal lunedì al venerdì. Servizio di assistenza telefonica fornito da operatori sp</w:t>
            </w:r>
            <w:r w:rsidRPr="000D35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D358F">
              <w:rPr>
                <w:rFonts w:ascii="Times New Roman" w:hAnsi="Times New Roman" w:cs="Times New Roman"/>
                <w:sz w:val="24"/>
                <w:szCs w:val="24"/>
              </w:rPr>
              <w:t>cializzati per hardware e software 5 gg su 7 disponibile 8 ore lavorative al giorno</w:t>
            </w:r>
          </w:p>
        </w:tc>
        <w:tc>
          <w:tcPr>
            <w:tcW w:w="2658" w:type="dxa"/>
          </w:tcPr>
          <w:p w:rsidR="00477FF5" w:rsidRPr="000D358F" w:rsidRDefault="00477FF5" w:rsidP="009E786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Possibilità di eseguire e gestire test di sensibilità per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M.tubercolosis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complex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con sistema fluorimetrico in fase liquida con antibiotici di prima linea (isoniazide, streptomicina,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etambutolo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rifambicina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pirazinamide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) secondo linee guida CLSI</w:t>
            </w:r>
          </w:p>
          <w:p w:rsidR="000D358F" w:rsidRPr="001D11BC" w:rsidRDefault="000D358F" w:rsidP="000D3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Strumentazione in grado di poter gestire l’antibiogramma dei micobatteri di seconda linea (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Kanamicina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solfato,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Capreomicina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Moxifloxacina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Amikacina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Ofloxacina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) secondo linee guida CLSI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0D358F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Pr="001D11BC" w:rsidRDefault="000D358F" w:rsidP="000D3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Passaggio automatico dei dati del test di sensibilità e gestione dei conflitti nel caso di discordanza dei risultati per campioni positivi.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Pr="001D11BC" w:rsidRDefault="000D358F" w:rsidP="000D3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re-inserire nello strumento i flaconi segnalati positivi nel sistema, dopo parziale lavorazione del campione, mantenendo memoria delle informazioni già acquisite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Pr="001D11BC" w:rsidRDefault="000D358F" w:rsidP="00243F50">
            <w:pPr>
              <w:spacing w:after="2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Massimizzazione degli spazi: sarà attribuito il punteggio massimo allo strumento con il minor ingombro complessivo, sulla base dei metri quadri (lunghezza x profondità) dichiarati in sede di proposta progettuale dello strumento offerto</w:t>
            </w: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Ingombro ed ergonomia delle provette per esame colturale: sarà premiata migliore ergonomia del materiale offerto.</w:t>
            </w:r>
          </w:p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Modalità di inoculo dei campioni: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</w:t>
            </w:r>
          </w:p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358F" w:rsidRPr="00516377" w:rsidTr="009E786E">
        <w:trPr>
          <w:trHeight w:val="20"/>
        </w:trPr>
        <w:tc>
          <w:tcPr>
            <w:tcW w:w="7196" w:type="dxa"/>
          </w:tcPr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Formazione del personale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: verrà premiata l’offerta con la più adeguata modalità organizzativa della formazione iniziale e di aggiornamento completo in termini di competenza e esperienza del fornitore nell’ambito dei micobatteri. Relazionare.</w:t>
            </w:r>
          </w:p>
          <w:p w:rsidR="000D358F" w:rsidRPr="001D11BC" w:rsidRDefault="000D358F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D358F" w:rsidRPr="00516377" w:rsidRDefault="000D358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>
      <w:bookmarkStart w:id="1" w:name="_GoBack"/>
      <w:bookmarkEnd w:id="1"/>
    </w:p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AD125B9"/>
    <w:multiLevelType w:val="multilevel"/>
    <w:tmpl w:val="BD3C25B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8ED488E"/>
    <w:multiLevelType w:val="multilevel"/>
    <w:tmpl w:val="7A1040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7003B4E"/>
    <w:multiLevelType w:val="multilevel"/>
    <w:tmpl w:val="B62407A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8037DC6"/>
    <w:multiLevelType w:val="multilevel"/>
    <w:tmpl w:val="DE9E0B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0D358F"/>
    <w:rsid w:val="00477FF5"/>
    <w:rsid w:val="0065362A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0D358F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0D358F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D358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D358F"/>
    <w:rPr>
      <w:rFonts w:ascii="Calibri" w:eastAsia="Calibri" w:hAnsi="Calibri" w:cs="Calibri"/>
      <w:lang w:eastAsia="zh-CN"/>
    </w:rPr>
  </w:style>
  <w:style w:type="paragraph" w:styleId="Paragrafoelenco">
    <w:name w:val="List Paragraph"/>
    <w:basedOn w:val="Normale"/>
    <w:qFormat/>
    <w:rsid w:val="000D358F"/>
    <w:pPr>
      <w:ind w:left="476" w:hanging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0D358F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0D358F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D358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D358F"/>
    <w:rPr>
      <w:rFonts w:ascii="Calibri" w:eastAsia="Calibri" w:hAnsi="Calibri" w:cs="Calibri"/>
      <w:lang w:eastAsia="zh-CN"/>
    </w:rPr>
  </w:style>
  <w:style w:type="paragraph" w:styleId="Paragrafoelenco">
    <w:name w:val="List Paragraph"/>
    <w:basedOn w:val="Normale"/>
    <w:qFormat/>
    <w:rsid w:val="000D358F"/>
    <w:pPr>
      <w:ind w:left="476" w:hanging="34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3</cp:revision>
  <dcterms:created xsi:type="dcterms:W3CDTF">2024-07-10T06:38:00Z</dcterms:created>
  <dcterms:modified xsi:type="dcterms:W3CDTF">2024-07-15T08:24:00Z</dcterms:modified>
</cp:coreProperties>
</file>